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6" w:rsidRDefault="00AB31A6" w:rsidP="00AB31A6">
      <w:bookmarkStart w:id="0" w:name="_GoBack"/>
      <w:bookmarkEnd w:id="0"/>
      <w:r>
        <w:t xml:space="preserve">CARNET DE DISPENSARIZARE A BOLILOR CRONICE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 eliberează de către spitalul care a stabilit diagnosticul şi rămâne la bolnav sau aparţinătorul acestuia.</w:t>
      </w:r>
    </w:p>
    <w:p w:rsidR="00AB31A6" w:rsidRDefault="00AB31A6" w:rsidP="00AB31A6">
      <w:r>
        <w:t>Carnetul cuprinde rezumatul tuturor internărilor în spital şi al consultaţiilor medicale, inclusiv consultaţiile efectuate pentru alte afecţiuni decât cea dispensarizată.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CARNET DE IEŞIRE DIN SPITAL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 utilizează în momentul externării bolnavului, pentru unele boli cronice, dispensarizate în spital.</w:t>
      </w:r>
    </w:p>
    <w:p w:rsidR="00AB31A6" w:rsidRDefault="00AB31A6" w:rsidP="00AB31A6">
      <w:r>
        <w:t>Se completează de către medicul de salon, într-un singur exemplar, care se înmânează bolnavului.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CARNET DE IEŞIRE DIN SPITAL AL BOLNAVULUI DIALIZAT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 utilizează în momentul externării bolnavului dializat.</w:t>
      </w:r>
    </w:p>
    <w:p w:rsidR="00AB31A6" w:rsidRPr="001511F2" w:rsidRDefault="00AB31A6" w:rsidP="00AB31A6">
      <w:r>
        <w:t>Se completează de către medicul de salon într-un singur exemplar, care se înmânează bolnavului.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CONDICI </w:t>
      </w:r>
      <w:r>
        <w:rPr>
          <w:color w:val="0000FF"/>
        </w:rPr>
        <w:t>[Heading 1</w:t>
      </w:r>
      <w:r w:rsidRPr="001511F2">
        <w:rPr>
          <w:color w:val="0000FF"/>
        </w:rPr>
        <w:t>]</w:t>
      </w:r>
      <w:r w:rsidRPr="001D0D41">
        <w:rPr>
          <w:color w:val="0000FF"/>
        </w:rPr>
        <w:t xml:space="preserve"> </w:t>
      </w:r>
      <w:r>
        <w:rPr>
          <w:color w:val="0000FF"/>
        </w:rPr>
        <w:t>– [Format – Styles and Formatting – Heading 1]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CONDICĂ DE PRESCRIPŢII LA APARAT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 w:rsidRPr="001D0D41">
        <w:rPr>
          <w:color w:val="0000FF"/>
        </w:rPr>
        <w:t xml:space="preserve"> </w:t>
      </w:r>
      <w:r>
        <w:rPr>
          <w:color w:val="0000FF"/>
        </w:rPr>
        <w:t>– [Format – Styles and Formatting – Heading 2]</w:t>
      </w:r>
    </w:p>
    <w:p w:rsidR="00AB31A6" w:rsidRDefault="00AB31A6" w:rsidP="00AB31A6">
      <w:r>
        <w:t>Serveşte unităţilor din toată reţeaua sanitară la ridicarea de la farmacie a medicamentelor şi materialelor sanitare necesare aparatelor şi truselor de urgenţă;</w:t>
      </w:r>
    </w:p>
    <w:p w:rsidR="00AB31A6" w:rsidRDefault="00AB31A6" w:rsidP="00AB31A6">
      <w:r>
        <w:t>Se completează în trei exemplare de unitatea care solicită medicamentele.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CONDICA DE PRESCRIPŢII MEDICAMENTE ŞI MATERIALE SANITARE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Serveşte pentru ridicarea din farmacie a medicamentelor şi materialelor sanitare prescrise bolnavilor internaţi în unităţile cu paturi.</w:t>
      </w:r>
    </w:p>
    <w:p w:rsidR="00AB31A6" w:rsidRDefault="00AB31A6" w:rsidP="00AB31A6">
      <w:r>
        <w:t>Medicul din spital completează în trei exemplare, la indigo, după care două exemplare rămân la farmacie iar un exemplar se întoarce pe secţie.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CERTIFICATE </w:t>
      </w:r>
      <w:r>
        <w:rPr>
          <w:color w:val="0000FF"/>
        </w:rPr>
        <w:t>[Heading 1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1]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CERTIFICAT MEDICAL CONSTATATOR AL NĂSCUTULUI VIU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Serveşte ca act constatator în vederea înregistrării nou născuţilor la birourile de stare civilă.</w:t>
      </w:r>
    </w:p>
    <w:p w:rsidR="00AB31A6" w:rsidRDefault="00AB31A6" w:rsidP="00AB31A6">
      <w:r>
        <w:t>Se completează de medicul de familie sau din spital care constată naşterea, într-un exemplar, din care partea detaşabilă se predă aparţinătorului.</w:t>
      </w:r>
    </w:p>
    <w:p w:rsidR="00AB31A6" w:rsidRDefault="00AB31A6" w:rsidP="00AB31A6">
      <w:r>
        <w:t>În cazul în care nu există nici un aparţinător, unitatea sanitară are sarcina să înregistreze născutul viu la birourile de stare civilă.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CERTIFICAT MEDICAL CONSTATATOR AL DECESULUI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Serveşte aparţinătorului pentru înregistrarea la biroul de stare civilă a persoanei decedate.</w:t>
      </w:r>
    </w:p>
    <w:p w:rsidR="00AB31A6" w:rsidRDefault="00AB31A6" w:rsidP="00AB31A6">
      <w:r>
        <w:t>Se completează de oricare medic din reţeaua sanitară care constată moartea, într-un exemplar, din care partea detaşabilă se predă aparţinătorului.</w:t>
      </w:r>
    </w:p>
    <w:p w:rsidR="00AB31A6" w:rsidRDefault="00AB31A6" w:rsidP="00AB31A6">
      <w:r>
        <w:lastRenderedPageBreak/>
        <w:t>În cazul în care nu există aparţinător, unitatea sanitară are sarcina să-l prezinte la biroul stării civile pentru înregistrarea decesului.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CERTIFICAT MEDICAL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Serveşte la atestarea stării de sănătate a solicitantului.</w:t>
      </w:r>
    </w:p>
    <w:p w:rsidR="00AB31A6" w:rsidRDefault="00AB31A6" w:rsidP="00AB31A6">
      <w:r>
        <w:t>Se eliberează într-un exemplar, la cerere, de către medicii din oricare unitate sanitară în evidenţa căreia se află persoana care solicită acest act.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>CERTIFICAT MEDICAL (PENTRU ELIBERAREA STUPEFIANTELOR )</w:t>
      </w:r>
      <w:r w:rsidRPr="00D760A8">
        <w:rPr>
          <w:color w:val="0000FF"/>
        </w:rPr>
        <w:t xml:space="preserve">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 eliberează de către medicul de specialitate din spital sau ambulatoriu, în două exemplare din care, originalul se predă bolnavului iar duplicatul se păstrează la spital.</w:t>
      </w:r>
    </w:p>
    <w:p w:rsidR="00AB31A6" w:rsidRDefault="00AB31A6" w:rsidP="00AB31A6">
      <w:r>
        <w:t>Este semnat de directorul spitalului şi medicul de specialitate, care a întocmit certificatul.</w:t>
      </w:r>
    </w:p>
    <w:p w:rsidR="00AB31A6" w:rsidRDefault="00AB31A6" w:rsidP="00AB31A6">
      <w:r>
        <w:t>Documentul este necesar pentru eliberarea de către directorul Autorităţii de sănătate publică judeţeană, autorizaţiei pentru procurarea produselor şi substanţelor stupefiante.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CERTIFICAT DE ÎMBĂLSĂMARE PENTRU DEPUNEREA CADAVRULUI LA CAPELĂ/ TRANSPORT ÎN ALTĂ LOCALITATE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Serveşte la confirmarea îmbălsămării cadavrului sau / şi ca aviz de transport în altă localitate şi / sau autorizaţie pentru depunerea la capelă.</w:t>
      </w:r>
    </w:p>
    <w:p w:rsidR="00AB31A6" w:rsidRDefault="00AB31A6" w:rsidP="00AB31A6">
      <w:r>
        <w:t>Se eliberează de către spitalul care efectuează îmbălsămarea, într-un singur exemplar, care se predă solicitantului, după achitarea taxei respective.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CARNETE </w:t>
      </w:r>
      <w:r>
        <w:rPr>
          <w:color w:val="0000FF"/>
        </w:rPr>
        <w:t>[Heading 1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1]</w:t>
      </w:r>
    </w:p>
    <w:p w:rsidR="00AB31A6" w:rsidRPr="001511F2" w:rsidRDefault="00AB31A6" w:rsidP="00AB31A6">
      <w:pPr>
        <w:rPr>
          <w:color w:val="0000FF"/>
        </w:rPr>
      </w:pPr>
      <w:r w:rsidRPr="001511F2">
        <w:rPr>
          <w:color w:val="0000FF"/>
        </w:rPr>
        <w:t>Trecere la pagina următoare [Insert – Break – Section break types: Next page]</w:t>
      </w:r>
    </w:p>
    <w:p w:rsidR="00AB31A6" w:rsidRDefault="00AB31A6" w:rsidP="00AB31A6">
      <w:r>
        <w:t xml:space="preserve">CARNET DE CONTROL MEDICAL PERIODIC </w:t>
      </w:r>
      <w:r>
        <w:rPr>
          <w:color w:val="0000FF"/>
        </w:rPr>
        <w:t>[Heading 2</w:t>
      </w:r>
      <w:r w:rsidRPr="001511F2">
        <w:rPr>
          <w:color w:val="0000FF"/>
        </w:rPr>
        <w:t>]</w:t>
      </w:r>
      <w:r>
        <w:rPr>
          <w:color w:val="0000FF"/>
        </w:rPr>
        <w:t xml:space="preserve"> – [Format – Styles and Formatting – Heading 2]</w:t>
      </w:r>
    </w:p>
    <w:p w:rsidR="00AB31A6" w:rsidRDefault="00AB31A6" w:rsidP="00AB31A6">
      <w:r>
        <w:t>Serveşte la înscrierea controalelor ce trebuie efectuate la personalul încadrat în unităţile alimentare şi de alimentaţie publică, la angajare şi periodic.</w:t>
      </w:r>
    </w:p>
    <w:p w:rsidR="00AB31A6" w:rsidRDefault="00AB31A6" w:rsidP="00AB31A6">
      <w:r>
        <w:t>Se utilizează şi pentru personalul sanitar din unităţile sanitare (blocuri alimentare, bucătării, creşe).</w:t>
      </w:r>
    </w:p>
    <w:p w:rsidR="00AB31A6" w:rsidRDefault="00AB31A6" w:rsidP="00AB31A6">
      <w:r>
        <w:t>Se predă persoanei încadrată în muncă sau care urmează să se angajeze, de către unitatea unde se încadrează în muncă, care completează pagina a treia după care oricare medic din reţeaua sanitară completează pagina a patra şi paginile 6 – 25.</w:t>
      </w:r>
    </w:p>
    <w:p w:rsidR="006D564B" w:rsidRDefault="006D564B"/>
    <w:sectPr w:rsidR="006D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A6"/>
    <w:rsid w:val="002605AC"/>
    <w:rsid w:val="003F3EA4"/>
    <w:rsid w:val="006D564B"/>
    <w:rsid w:val="00813FE3"/>
    <w:rsid w:val="008B5662"/>
    <w:rsid w:val="00956A36"/>
    <w:rsid w:val="009D36D9"/>
    <w:rsid w:val="00A06812"/>
    <w:rsid w:val="00A93812"/>
    <w:rsid w:val="00AB31A6"/>
    <w:rsid w:val="00AE0032"/>
    <w:rsid w:val="00D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infomed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</dc:creator>
  <cp:keywords/>
  <dc:description/>
  <cp:lastModifiedBy>statia</cp:lastModifiedBy>
  <cp:revision>2</cp:revision>
  <dcterms:created xsi:type="dcterms:W3CDTF">2015-03-18T13:31:00Z</dcterms:created>
  <dcterms:modified xsi:type="dcterms:W3CDTF">2015-03-18T13:31:00Z</dcterms:modified>
</cp:coreProperties>
</file>