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AC1" w:rsidRDefault="00615731" w:rsidP="00126348">
      <w:pPr>
        <w:spacing w:after="0" w:line="240" w:lineRule="auto"/>
      </w:pPr>
      <w:r w:rsidRPr="00BC179C">
        <w:rPr>
          <w:b/>
        </w:rPr>
        <w:t>Descriptive statistics parameters: Measures of centrality</w:t>
      </w:r>
      <w:r w:rsidR="00CA63E8">
        <w:rPr>
          <w:b/>
        </w:rPr>
        <w:t xml:space="preserve"> </w:t>
      </w:r>
      <w:r w:rsidR="00CA63E8" w:rsidRPr="003D1E3B">
        <w:rPr>
          <w:rFonts w:ascii="Calibri" w:hAnsi="Calibri" w:cs="Calibri"/>
          <w:b/>
          <w:bCs/>
          <w:color w:val="0070C0"/>
          <w:szCs w:val="28"/>
        </w:rPr>
        <w:t xml:space="preserve">(Arial Black, </w:t>
      </w:r>
      <w:r w:rsidR="00CA63E8">
        <w:rPr>
          <w:rFonts w:ascii="Calibri" w:hAnsi="Calibri" w:cs="Calibri"/>
          <w:b/>
          <w:bCs/>
          <w:color w:val="0070C0"/>
          <w:szCs w:val="28"/>
        </w:rPr>
        <w:t>36, Center</w:t>
      </w:r>
      <w:r w:rsidR="00CA63E8" w:rsidRPr="003D1E3B">
        <w:rPr>
          <w:rFonts w:ascii="Calibri" w:hAnsi="Calibri" w:cs="Calibri"/>
          <w:b/>
          <w:bCs/>
          <w:color w:val="0070C0"/>
          <w:szCs w:val="28"/>
        </w:rPr>
        <w:t>)</w:t>
      </w:r>
    </w:p>
    <w:p w:rsidR="00F66FC3" w:rsidRPr="003D1E3B" w:rsidRDefault="00F66FC3" w:rsidP="00F66FC3">
      <w:pPr>
        <w:pStyle w:val="textbold"/>
        <w:spacing w:before="0" w:beforeAutospacing="0" w:after="0" w:afterAutospacing="0"/>
        <w:jc w:val="both"/>
        <w:rPr>
          <w:rFonts w:ascii="Calibri" w:hAnsi="Calibri" w:cs="Calibri"/>
          <w:bCs/>
          <w:sz w:val="22"/>
          <w:szCs w:val="28"/>
        </w:rPr>
      </w:pPr>
      <w:r w:rsidRPr="003D1E3B">
        <w:rPr>
          <w:rFonts w:ascii="Calibri" w:hAnsi="Calibri" w:cs="Calibri"/>
          <w:b/>
          <w:bCs/>
          <w:color w:val="0070C0"/>
          <w:sz w:val="22"/>
          <w:szCs w:val="28"/>
        </w:rPr>
        <w:t>[Insert – Page Break]</w:t>
      </w:r>
      <w:r w:rsidRPr="003D1E3B">
        <w:rPr>
          <w:rFonts w:ascii="Calibri" w:hAnsi="Calibri" w:cs="Calibri"/>
          <w:b/>
          <w:bCs/>
          <w:sz w:val="22"/>
          <w:szCs w:val="28"/>
        </w:rPr>
        <w:t xml:space="preserve"> Contents</w:t>
      </w:r>
      <w:r w:rsidRPr="003D1E3B">
        <w:rPr>
          <w:rFonts w:ascii="Calibri" w:hAnsi="Calibri" w:cs="Calibri"/>
          <w:bCs/>
          <w:sz w:val="22"/>
          <w:szCs w:val="28"/>
        </w:rPr>
        <w:t xml:space="preserve"> </w:t>
      </w:r>
      <w:r w:rsidRPr="003D1E3B">
        <w:rPr>
          <w:rFonts w:ascii="Calibri" w:hAnsi="Calibri" w:cs="Calibri"/>
          <w:b/>
          <w:bCs/>
          <w:color w:val="0070C0"/>
          <w:sz w:val="22"/>
          <w:szCs w:val="28"/>
        </w:rPr>
        <w:t>(Arial Black, 20)</w:t>
      </w:r>
    </w:p>
    <w:p w:rsidR="00F66FC3" w:rsidRPr="003D1E3B" w:rsidRDefault="00F66FC3" w:rsidP="00F66FC3">
      <w:pPr>
        <w:pStyle w:val="textbold"/>
        <w:spacing w:before="0" w:beforeAutospacing="0" w:after="0" w:afterAutospacing="0"/>
        <w:jc w:val="both"/>
        <w:rPr>
          <w:rFonts w:ascii="Calibri" w:hAnsi="Calibri" w:cs="Calibri"/>
          <w:bCs/>
          <w:sz w:val="22"/>
          <w:szCs w:val="28"/>
        </w:rPr>
      </w:pPr>
      <w:r w:rsidRPr="003D1E3B">
        <w:rPr>
          <w:rFonts w:ascii="Calibri" w:hAnsi="Calibri" w:cs="Calibri"/>
          <w:b/>
          <w:bCs/>
          <w:color w:val="0070C0"/>
          <w:sz w:val="22"/>
          <w:szCs w:val="28"/>
        </w:rPr>
        <w:t>[Insert – Page Break]</w:t>
      </w:r>
      <w:r w:rsidRPr="003D1E3B">
        <w:rPr>
          <w:rFonts w:ascii="Calibri" w:hAnsi="Calibri" w:cs="Calibri"/>
          <w:bCs/>
          <w:sz w:val="22"/>
          <w:szCs w:val="28"/>
        </w:rPr>
        <w:t xml:space="preserve"> </w:t>
      </w:r>
      <w:r w:rsidRPr="00F66FC3">
        <w:rPr>
          <w:rFonts w:ascii="Calibri" w:hAnsi="Calibri" w:cs="Calibri"/>
          <w:b/>
          <w:bCs/>
          <w:sz w:val="22"/>
          <w:szCs w:val="28"/>
        </w:rPr>
        <w:t>Definitions</w:t>
      </w:r>
      <w:r w:rsidRPr="00F66FC3">
        <w:rPr>
          <w:rFonts w:ascii="Calibri" w:hAnsi="Calibri" w:cs="Calibri"/>
          <w:bCs/>
          <w:sz w:val="22"/>
          <w:szCs w:val="28"/>
        </w:rPr>
        <w:t xml:space="preserve"> </w:t>
      </w:r>
      <w:r w:rsidRPr="003D1E3B">
        <w:rPr>
          <w:rFonts w:ascii="Calibri" w:hAnsi="Calibri" w:cs="Calibri"/>
          <w:b/>
          <w:bCs/>
          <w:color w:val="0070C0"/>
          <w:sz w:val="22"/>
          <w:szCs w:val="28"/>
        </w:rPr>
        <w:t>[Home – Styles – Heading 1]</w:t>
      </w:r>
    </w:p>
    <w:p w:rsidR="00615731"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Descriptive statistics = methods or indicators that allow to represent data in a readable form. Some methods allows to prepare data for graphical representation (such as histogram, bar chart, pie chart, box plot, etc.) while others allow to obtain parameters that summarize the investigated data (such as mean, standard deviation, correlation coefficient, etc.)</w:t>
      </w:r>
      <w:bookmarkStart w:id="0" w:name="_GoBack"/>
      <w:bookmarkEnd w:id="0"/>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Estimation [</w:t>
      </w:r>
      <w:r w:rsidR="00F66FC3" w:rsidRPr="00591C39">
        <w:rPr>
          <w:rStyle w:val="EndnoteReference"/>
          <w:rFonts w:ascii="Calibri" w:hAnsi="Calibri"/>
          <w:color w:val="0070C0"/>
          <w:sz w:val="20"/>
          <w:szCs w:val="20"/>
          <w:vertAlign w:val="baseline"/>
        </w:rPr>
        <w:t xml:space="preserve">Fisher RA. On the mathematical foundations of theoretical statistics. Philos. Trans. Roy. Soc. </w:t>
      </w:r>
      <w:proofErr w:type="spellStart"/>
      <w:r w:rsidR="00F66FC3" w:rsidRPr="00591C39">
        <w:rPr>
          <w:rStyle w:val="EndnoteReference"/>
          <w:rFonts w:ascii="Calibri" w:hAnsi="Calibri"/>
          <w:color w:val="0070C0"/>
          <w:sz w:val="20"/>
          <w:szCs w:val="20"/>
          <w:vertAlign w:val="baseline"/>
        </w:rPr>
        <w:t>Lond</w:t>
      </w:r>
      <w:proofErr w:type="spellEnd"/>
      <w:r w:rsidR="00F66FC3" w:rsidRPr="00591C39">
        <w:rPr>
          <w:rStyle w:val="EndnoteReference"/>
          <w:rFonts w:ascii="Calibri" w:hAnsi="Calibri"/>
          <w:color w:val="0070C0"/>
          <w:sz w:val="20"/>
          <w:szCs w:val="20"/>
          <w:vertAlign w:val="baseline"/>
        </w:rPr>
        <w:t xml:space="preserve">. </w:t>
      </w:r>
      <w:proofErr w:type="spellStart"/>
      <w:r w:rsidR="00F66FC3" w:rsidRPr="00591C39">
        <w:rPr>
          <w:rStyle w:val="EndnoteReference"/>
          <w:rFonts w:ascii="Calibri" w:hAnsi="Calibri"/>
          <w:color w:val="0070C0"/>
          <w:sz w:val="20"/>
          <w:szCs w:val="20"/>
          <w:vertAlign w:val="baseline"/>
        </w:rPr>
        <w:t>Ser</w:t>
      </w:r>
      <w:proofErr w:type="spellEnd"/>
      <w:r w:rsidR="00F66FC3" w:rsidRPr="00591C39">
        <w:rPr>
          <w:rStyle w:val="EndnoteReference"/>
          <w:rFonts w:ascii="Calibri" w:hAnsi="Calibri"/>
          <w:color w:val="0070C0"/>
          <w:sz w:val="20"/>
          <w:szCs w:val="20"/>
          <w:vertAlign w:val="baseline"/>
        </w:rPr>
        <w:t xml:space="preserve"> A 1922;222:309-368.</w:t>
      </w:r>
      <w:r w:rsidRPr="00FF7A9D">
        <w:rPr>
          <w:rFonts w:ascii="Calibri" w:hAnsi="Calibri"/>
          <w:sz w:val="20"/>
          <w:szCs w:val="20"/>
        </w:rPr>
        <w:t>] = the procedure used to determine the value of a particular parameter associated to a population. Two main types of estimators are used in medical statistics: point estimation and interval estimation.</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Estimator = statistical function of a sample used to estimate an unknown parameter of the population. The value obtain is an estimate of the population parameter.</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Measures of centrality = simple values that give us information about the distribution of data such as arithmetic mean, median, mode.</w:t>
      </w:r>
    </w:p>
    <w:p w:rsidR="00615731" w:rsidRDefault="00615731" w:rsidP="00126348">
      <w:pPr>
        <w:spacing w:after="0" w:line="240" w:lineRule="auto"/>
        <w:ind w:left="284" w:hanging="284"/>
        <w:jc w:val="both"/>
        <w:rPr>
          <w:rFonts w:ascii="Calibri" w:hAnsi="Calibri"/>
          <w:sz w:val="20"/>
          <w:szCs w:val="20"/>
        </w:rPr>
      </w:pPr>
    </w:p>
    <w:p w:rsidR="00615731" w:rsidRDefault="00F66FC3" w:rsidP="00126348">
      <w:pPr>
        <w:spacing w:after="0" w:line="240" w:lineRule="auto"/>
        <w:ind w:left="284" w:hanging="284"/>
        <w:jc w:val="both"/>
        <w:rPr>
          <w:rFonts w:ascii="Calibri" w:hAnsi="Calibri"/>
          <w:sz w:val="20"/>
          <w:szCs w:val="20"/>
        </w:rPr>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615731" w:rsidRPr="00F66FC3">
        <w:rPr>
          <w:rFonts w:ascii="Calibri" w:hAnsi="Calibri"/>
          <w:b/>
          <w:sz w:val="20"/>
          <w:szCs w:val="20"/>
        </w:rPr>
        <w:t>Classification of descriptive statistics parameters</w:t>
      </w:r>
      <w:r w:rsidR="00BC1255">
        <w:rPr>
          <w:rFonts w:ascii="Calibri" w:hAnsi="Calibri"/>
          <w:b/>
          <w:sz w:val="20"/>
          <w:szCs w:val="20"/>
        </w:rPr>
        <w:t xml:space="preserve"> </w:t>
      </w:r>
      <w:r w:rsidRPr="003D1E3B">
        <w:rPr>
          <w:rFonts w:ascii="Calibri" w:hAnsi="Calibri" w:cs="Calibri"/>
          <w:b/>
          <w:bCs/>
          <w:color w:val="0070C0"/>
          <w:szCs w:val="28"/>
        </w:rPr>
        <w:t>[Home – Styles – Heading 1]</w:t>
      </w:r>
    </w:p>
    <w:p w:rsidR="00615731" w:rsidRDefault="00615731" w:rsidP="00126348">
      <w:pPr>
        <w:spacing w:after="0" w:line="240" w:lineRule="auto"/>
        <w:ind w:left="284" w:hanging="284"/>
        <w:jc w:val="both"/>
        <w:rPr>
          <w:rFonts w:ascii="Calibri" w:hAnsi="Calibri"/>
          <w:sz w:val="20"/>
          <w:szCs w:val="20"/>
        </w:rPr>
      </w:pPr>
      <w:r>
        <w:rPr>
          <w:rFonts w:ascii="Calibri" w:hAnsi="Calibri"/>
          <w:sz w:val="20"/>
          <w:szCs w:val="20"/>
        </w:rPr>
        <w:t>Measures of central tendency</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Default="00615731" w:rsidP="00126348">
      <w:pPr>
        <w:spacing w:after="0" w:line="240" w:lineRule="auto"/>
        <w:ind w:left="284" w:hanging="284"/>
        <w:jc w:val="both"/>
        <w:rPr>
          <w:rFonts w:ascii="Calibri" w:hAnsi="Calibri"/>
          <w:sz w:val="20"/>
          <w:szCs w:val="20"/>
        </w:rPr>
      </w:pPr>
      <w:r>
        <w:rPr>
          <w:rFonts w:ascii="Calibri" w:hAnsi="Calibri"/>
          <w:sz w:val="20"/>
          <w:szCs w:val="20"/>
        </w:rPr>
        <w:t>Measure of dispersion</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Default="00615731" w:rsidP="00126348">
      <w:pPr>
        <w:spacing w:after="0" w:line="240" w:lineRule="auto"/>
        <w:ind w:left="284" w:hanging="284"/>
        <w:jc w:val="both"/>
        <w:rPr>
          <w:rFonts w:ascii="Calibri" w:hAnsi="Calibri"/>
          <w:sz w:val="20"/>
          <w:szCs w:val="20"/>
        </w:rPr>
      </w:pPr>
      <w:r>
        <w:rPr>
          <w:rFonts w:ascii="Calibri" w:hAnsi="Calibri"/>
          <w:sz w:val="20"/>
          <w:szCs w:val="20"/>
        </w:rPr>
        <w:t>Measures of localization</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Pr="00FF7A9D" w:rsidRDefault="00615731" w:rsidP="00126348">
      <w:pPr>
        <w:spacing w:after="0" w:line="240" w:lineRule="auto"/>
        <w:ind w:left="284" w:hanging="284"/>
        <w:jc w:val="both"/>
        <w:rPr>
          <w:rFonts w:ascii="Calibri" w:hAnsi="Calibri"/>
          <w:sz w:val="20"/>
          <w:szCs w:val="20"/>
        </w:rPr>
      </w:pPr>
      <w:r>
        <w:rPr>
          <w:rFonts w:ascii="Calibri" w:hAnsi="Calibri"/>
          <w:sz w:val="20"/>
          <w:szCs w:val="20"/>
        </w:rPr>
        <w:t>Measures of shape</w:t>
      </w:r>
      <w:r w:rsidR="00BC1255">
        <w:rPr>
          <w:rFonts w:ascii="Calibri" w:hAnsi="Calibri"/>
          <w:sz w:val="20"/>
          <w:szCs w:val="20"/>
        </w:rPr>
        <w:t xml:space="preserve"> </w:t>
      </w:r>
      <w:r w:rsidR="00BC1255" w:rsidRPr="00BC1255">
        <w:rPr>
          <w:rFonts w:ascii="Calibri" w:hAnsi="Calibri"/>
          <w:color w:val="0070C0"/>
          <w:sz w:val="20"/>
          <w:szCs w:val="20"/>
        </w:rPr>
        <w:t>(Bullet list)</w:t>
      </w:r>
    </w:p>
    <w:p w:rsidR="00615731" w:rsidRDefault="00615731" w:rsidP="00126348">
      <w:pPr>
        <w:spacing w:after="0" w:line="240" w:lineRule="auto"/>
      </w:pPr>
    </w:p>
    <w:p w:rsidR="00615731" w:rsidRDefault="00F66FC3" w:rsidP="00126348">
      <w:pPr>
        <w:spacing w:after="0" w:line="240" w:lineRule="auto"/>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615731" w:rsidRPr="00F66FC3">
        <w:rPr>
          <w:b/>
          <w:sz w:val="20"/>
        </w:rPr>
        <w:t>More about central tendency estimators</w:t>
      </w:r>
      <w:r w:rsidR="00BC1255">
        <w:rPr>
          <w:b/>
          <w:sz w:val="20"/>
        </w:rPr>
        <w:t xml:space="preserve"> </w:t>
      </w:r>
      <w:r w:rsidRPr="003D1E3B">
        <w:rPr>
          <w:rFonts w:ascii="Calibri" w:hAnsi="Calibri" w:cs="Calibri"/>
          <w:b/>
          <w:bCs/>
          <w:color w:val="0070C0"/>
          <w:szCs w:val="28"/>
        </w:rPr>
        <w:t>[Home – Styles – Heading 1]</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Arithmetic mean [</w:t>
      </w:r>
      <w:r w:rsidR="00F66FC3" w:rsidRPr="00591C39">
        <w:rPr>
          <w:rFonts w:ascii="Calibri" w:hAnsi="Calibri"/>
          <w:color w:val="0070C0"/>
          <w:sz w:val="20"/>
        </w:rPr>
        <w:t xml:space="preserve">Simpson T. </w:t>
      </w:r>
      <w:proofErr w:type="spellStart"/>
      <w:r w:rsidR="00F66FC3" w:rsidRPr="00591C39">
        <w:rPr>
          <w:rFonts w:ascii="Calibri" w:hAnsi="Calibri"/>
          <w:color w:val="0070C0"/>
          <w:sz w:val="20"/>
        </w:rPr>
        <w:t>Aletter</w:t>
      </w:r>
      <w:proofErr w:type="spellEnd"/>
      <w:r w:rsidR="00F66FC3" w:rsidRPr="00591C39">
        <w:rPr>
          <w:rFonts w:ascii="Calibri" w:hAnsi="Calibri"/>
          <w:color w:val="0070C0"/>
          <w:sz w:val="20"/>
        </w:rPr>
        <w:t xml:space="preserve"> to the </w:t>
      </w:r>
      <w:proofErr w:type="spellStart"/>
      <w:r w:rsidR="00F66FC3" w:rsidRPr="00591C39">
        <w:rPr>
          <w:rFonts w:ascii="Calibri" w:hAnsi="Calibri"/>
          <w:color w:val="0070C0"/>
          <w:sz w:val="20"/>
        </w:rPr>
        <w:t>RightHonorable</w:t>
      </w:r>
      <w:proofErr w:type="spellEnd"/>
      <w:r w:rsidR="00F66FC3" w:rsidRPr="00591C39">
        <w:rPr>
          <w:rFonts w:ascii="Calibri" w:hAnsi="Calibri"/>
          <w:color w:val="0070C0"/>
          <w:sz w:val="20"/>
        </w:rPr>
        <w:t xml:space="preserve"> George Earl of </w:t>
      </w:r>
      <w:proofErr w:type="spellStart"/>
      <w:r w:rsidR="00F66FC3" w:rsidRPr="00591C39">
        <w:rPr>
          <w:rFonts w:ascii="Calibri" w:hAnsi="Calibri"/>
          <w:color w:val="0070C0"/>
          <w:sz w:val="20"/>
        </w:rPr>
        <w:t>Macclesfield</w:t>
      </w:r>
      <w:proofErr w:type="spellEnd"/>
      <w:r w:rsidR="00F66FC3" w:rsidRPr="00591C39">
        <w:rPr>
          <w:rFonts w:ascii="Calibri" w:hAnsi="Calibri"/>
          <w:color w:val="0070C0"/>
          <w:sz w:val="20"/>
        </w:rPr>
        <w:t xml:space="preserve">, President of </w:t>
      </w:r>
      <w:proofErr w:type="spellStart"/>
      <w:r w:rsidR="00F66FC3" w:rsidRPr="00591C39">
        <w:rPr>
          <w:rFonts w:ascii="Calibri" w:hAnsi="Calibri"/>
          <w:color w:val="0070C0"/>
          <w:sz w:val="20"/>
        </w:rPr>
        <w:t>theRoyalSociety</w:t>
      </w:r>
      <w:proofErr w:type="gramStart"/>
      <w:r w:rsidR="00F66FC3" w:rsidRPr="00591C39">
        <w:rPr>
          <w:rFonts w:ascii="Calibri" w:hAnsi="Calibri"/>
          <w:color w:val="0070C0"/>
          <w:sz w:val="20"/>
        </w:rPr>
        <w:t>,on</w:t>
      </w:r>
      <w:proofErr w:type="spellEnd"/>
      <w:proofErr w:type="gramEnd"/>
      <w:r w:rsidR="00F66FC3" w:rsidRPr="00591C39">
        <w:rPr>
          <w:rFonts w:ascii="Calibri" w:hAnsi="Calibri"/>
          <w:color w:val="0070C0"/>
          <w:sz w:val="20"/>
        </w:rPr>
        <w:t xml:space="preserve"> the advantage of taking the mean of a number of observations </w:t>
      </w:r>
      <w:proofErr w:type="spellStart"/>
      <w:r w:rsidR="00F66FC3" w:rsidRPr="00591C39">
        <w:rPr>
          <w:rFonts w:ascii="Calibri" w:hAnsi="Calibri"/>
          <w:color w:val="0070C0"/>
          <w:sz w:val="20"/>
        </w:rPr>
        <w:t>inpractical</w:t>
      </w:r>
      <w:proofErr w:type="spellEnd"/>
      <w:r w:rsidR="00F66FC3" w:rsidRPr="00591C39">
        <w:rPr>
          <w:rFonts w:ascii="Calibri" w:hAnsi="Calibri"/>
          <w:color w:val="0070C0"/>
          <w:sz w:val="20"/>
        </w:rPr>
        <w:t xml:space="preserve"> astronomy. </w:t>
      </w:r>
      <w:proofErr w:type="spellStart"/>
      <w:r w:rsidR="00F66FC3" w:rsidRPr="00591C39">
        <w:rPr>
          <w:rFonts w:ascii="Calibri" w:hAnsi="Calibri"/>
          <w:color w:val="0070C0"/>
          <w:sz w:val="20"/>
        </w:rPr>
        <w:t>Philos.Trans.Roy.Soc</w:t>
      </w:r>
      <w:proofErr w:type="spellEnd"/>
      <w:r w:rsidR="00F66FC3" w:rsidRPr="00591C39">
        <w:rPr>
          <w:rFonts w:ascii="Calibri" w:hAnsi="Calibri"/>
          <w:color w:val="0070C0"/>
          <w:sz w:val="20"/>
        </w:rPr>
        <w:t xml:space="preserve">. </w:t>
      </w:r>
      <w:proofErr w:type="spellStart"/>
      <w:r w:rsidR="00F66FC3" w:rsidRPr="00591C39">
        <w:rPr>
          <w:rFonts w:ascii="Calibri" w:hAnsi="Calibri"/>
          <w:color w:val="0070C0"/>
          <w:sz w:val="20"/>
        </w:rPr>
        <w:t>Lond</w:t>
      </w:r>
      <w:proofErr w:type="spellEnd"/>
      <w:r w:rsidR="00F66FC3" w:rsidRPr="00591C39">
        <w:rPr>
          <w:rFonts w:ascii="Calibri" w:hAnsi="Calibri"/>
          <w:color w:val="0070C0"/>
          <w:sz w:val="20"/>
        </w:rPr>
        <w:t>. 1755</w:t>
      </w:r>
      <w:proofErr w:type="gramStart"/>
      <w:r w:rsidR="00F66FC3" w:rsidRPr="00591C39">
        <w:rPr>
          <w:rFonts w:ascii="Calibri" w:hAnsi="Calibri"/>
          <w:color w:val="0070C0"/>
          <w:sz w:val="20"/>
        </w:rPr>
        <w:t>;49:82</w:t>
      </w:r>
      <w:proofErr w:type="gramEnd"/>
      <w:r w:rsidR="00F66FC3" w:rsidRPr="00591C39">
        <w:rPr>
          <w:rFonts w:ascii="Calibri" w:hAnsi="Calibri"/>
          <w:color w:val="0070C0"/>
          <w:sz w:val="20"/>
        </w:rPr>
        <w:t>-93.</w:t>
      </w:r>
      <w:r w:rsidRPr="00F66FC3">
        <w:rPr>
          <w:rFonts w:ascii="Calibri" w:hAnsi="Calibri"/>
          <w:sz w:val="18"/>
          <w:szCs w:val="20"/>
        </w:rPr>
        <w:t>]</w:t>
      </w:r>
      <w:r w:rsidRPr="00F66FC3">
        <w:rPr>
          <w:rFonts w:ascii="Calibri" w:hAnsi="Calibri"/>
          <w:sz w:val="20"/>
          <w:szCs w:val="20"/>
        </w:rPr>
        <w:t xml:space="preserve"> </w:t>
      </w:r>
      <w:r w:rsidRPr="00FF7A9D">
        <w:rPr>
          <w:rFonts w:ascii="Calibri" w:hAnsi="Calibri"/>
          <w:sz w:val="20"/>
          <w:szCs w:val="20"/>
        </w:rPr>
        <w:t xml:space="preserve">= a measure of central tendency which allows to characterize the </w:t>
      </w:r>
      <w:proofErr w:type="gramStart"/>
      <w:r w:rsidRPr="00FF7A9D">
        <w:rPr>
          <w:rFonts w:ascii="Calibri" w:hAnsi="Calibri"/>
          <w:sz w:val="20"/>
          <w:szCs w:val="20"/>
        </w:rPr>
        <w:t>center</w:t>
      </w:r>
      <w:proofErr w:type="gramEnd"/>
      <w:r w:rsidRPr="00FF7A9D">
        <w:rPr>
          <w:rFonts w:ascii="Calibri" w:hAnsi="Calibri"/>
          <w:sz w:val="20"/>
          <w:szCs w:val="20"/>
        </w:rPr>
        <w:t xml:space="preserve"> of the frequency distribution of a quantitative variable that follow a normal distribution. It is calculated by summing all numbers in the sample and then dividing by the number of observations. </w:t>
      </w:r>
      <w:proofErr w:type="gramStart"/>
      <w:r w:rsidRPr="00FF7A9D">
        <w:rPr>
          <w:rFonts w:ascii="Calibri" w:hAnsi="Calibri"/>
          <w:sz w:val="20"/>
          <w:szCs w:val="20"/>
        </w:rPr>
        <w:t>If the distribution of data is symmetric and unimodal the arithmetic mean is equal to both median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and modal (M</w:t>
      </w:r>
      <w:r w:rsidRPr="00FF7A9D">
        <w:rPr>
          <w:rFonts w:ascii="Calibri" w:hAnsi="Calibri"/>
          <w:sz w:val="20"/>
          <w:szCs w:val="20"/>
          <w:vertAlign w:val="subscript"/>
        </w:rPr>
        <w:t>o</w:t>
      </w:r>
      <w:r w:rsidRPr="00FF7A9D">
        <w:rPr>
          <w:rFonts w:ascii="Calibri" w:hAnsi="Calibri"/>
          <w:sz w:val="20"/>
          <w:szCs w:val="20"/>
        </w:rPr>
        <w:t>) values.</w:t>
      </w:r>
      <w:proofErr w:type="gramEnd"/>
      <w:r w:rsidRPr="00FF7A9D">
        <w:rPr>
          <w:rFonts w:ascii="Calibri" w:hAnsi="Calibri"/>
          <w:sz w:val="20"/>
          <w:szCs w:val="20"/>
        </w:rPr>
        <w:t xml:space="preserve"> If the distribution is unimodal m ≥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M</w:t>
      </w:r>
      <w:r w:rsidRPr="00FF7A9D">
        <w:rPr>
          <w:rFonts w:ascii="Calibri" w:hAnsi="Calibri"/>
          <w:sz w:val="20"/>
          <w:szCs w:val="20"/>
          <w:vertAlign w:val="subscript"/>
        </w:rPr>
        <w:t>o</w:t>
      </w:r>
      <w:r w:rsidRPr="00FF7A9D">
        <w:rPr>
          <w:rFonts w:ascii="Calibri" w:hAnsi="Calibri"/>
          <w:sz w:val="20"/>
          <w:szCs w:val="20"/>
        </w:rPr>
        <w:t xml:space="preserve"> for data skewed to the right and m ≤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M</w:t>
      </w:r>
      <w:r w:rsidRPr="00FF7A9D">
        <w:rPr>
          <w:rFonts w:ascii="Calibri" w:hAnsi="Calibri"/>
          <w:sz w:val="20"/>
          <w:szCs w:val="20"/>
          <w:vertAlign w:val="subscript"/>
        </w:rPr>
        <w:t>o</w:t>
      </w:r>
      <w:r w:rsidRPr="00FF7A9D">
        <w:rPr>
          <w:rFonts w:ascii="Calibri" w:hAnsi="Calibri"/>
          <w:sz w:val="20"/>
          <w:szCs w:val="20"/>
        </w:rPr>
        <w:t xml:space="preserve"> for data skewed to the left.</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Median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a measure of central tendency used when data are not normal distributed. Its value is not influence by outlier since just a maximum of two values are implied in the calculation; is easy to determine because only one classification is needed; is easy to understand. It is the estimator of central value of a distribution when it is asymmetric or has outliers. The median split the dataset in the way in which 50% of observations are on each side of its value. </w:t>
      </w:r>
    </w:p>
    <w:p w:rsidR="00615731" w:rsidRPr="00FF7A9D" w:rsidRDefault="00615731" w:rsidP="00126348">
      <w:pPr>
        <w:spacing w:after="0" w:line="240" w:lineRule="auto"/>
        <w:ind w:left="568" w:hanging="284"/>
        <w:jc w:val="both"/>
        <w:rPr>
          <w:rFonts w:ascii="Calibri" w:hAnsi="Calibri"/>
          <w:sz w:val="20"/>
          <w:szCs w:val="20"/>
        </w:rPr>
      </w:pPr>
      <w:r w:rsidRPr="00FF7A9D">
        <w:rPr>
          <w:rFonts w:ascii="Calibri" w:hAnsi="Calibri"/>
          <w:sz w:val="20"/>
          <w:szCs w:val="20"/>
        </w:rPr>
        <w:t>The steps needed to be follow for calculation the median are:</w:t>
      </w:r>
    </w:p>
    <w:p w:rsidR="00615731" w:rsidRPr="00FF7A9D" w:rsidRDefault="00615731" w:rsidP="00126348">
      <w:pPr>
        <w:numPr>
          <w:ilvl w:val="0"/>
          <w:numId w:val="1"/>
        </w:numPr>
        <w:spacing w:after="0" w:line="240" w:lineRule="auto"/>
        <w:jc w:val="both"/>
        <w:rPr>
          <w:rFonts w:ascii="Calibri" w:hAnsi="Calibri"/>
          <w:sz w:val="20"/>
          <w:szCs w:val="20"/>
        </w:rPr>
      </w:pPr>
      <w:r w:rsidRPr="00FF7A9D">
        <w:rPr>
          <w:rFonts w:ascii="Calibri" w:hAnsi="Calibri"/>
          <w:sz w:val="20"/>
          <w:szCs w:val="20"/>
        </w:rPr>
        <w:t>Arrange the n observations in increasing or decreasing order.</w:t>
      </w:r>
    </w:p>
    <w:p w:rsidR="00615731" w:rsidRPr="00FF7A9D" w:rsidRDefault="00615731" w:rsidP="00126348">
      <w:pPr>
        <w:numPr>
          <w:ilvl w:val="0"/>
          <w:numId w:val="1"/>
        </w:numPr>
        <w:spacing w:after="0" w:line="240" w:lineRule="auto"/>
        <w:jc w:val="both"/>
        <w:rPr>
          <w:rFonts w:ascii="Calibri" w:hAnsi="Calibri"/>
          <w:sz w:val="20"/>
          <w:szCs w:val="20"/>
        </w:rPr>
      </w:pPr>
      <w:r w:rsidRPr="00FF7A9D">
        <w:rPr>
          <w:rFonts w:ascii="Calibri" w:hAnsi="Calibri"/>
          <w:sz w:val="20"/>
          <w:szCs w:val="20"/>
        </w:rPr>
        <w:t xml:space="preserve">For n = odd: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w:t>
      </w:r>
      <w:proofErr w:type="gramStart"/>
      <w:r w:rsidRPr="00FF7A9D">
        <w:rPr>
          <w:rFonts w:ascii="Calibri" w:hAnsi="Calibri"/>
          <w:sz w:val="20"/>
          <w:szCs w:val="20"/>
        </w:rPr>
        <w:t>X</w:t>
      </w:r>
      <w:r w:rsidRPr="00FF7A9D">
        <w:rPr>
          <w:rFonts w:ascii="Calibri" w:hAnsi="Calibri"/>
          <w:sz w:val="20"/>
          <w:szCs w:val="20"/>
          <w:vertAlign w:val="subscript"/>
        </w:rPr>
        <w:t>(</w:t>
      </w:r>
      <w:proofErr w:type="gramEnd"/>
      <w:r w:rsidRPr="00FF7A9D">
        <w:rPr>
          <w:rFonts w:ascii="Calibri" w:hAnsi="Calibri"/>
          <w:sz w:val="20"/>
          <w:szCs w:val="20"/>
          <w:vertAlign w:val="subscript"/>
        </w:rPr>
        <w:t>n+1)/2</w:t>
      </w:r>
      <w:r w:rsidRPr="00FF7A9D">
        <w:rPr>
          <w:rFonts w:ascii="Calibri" w:hAnsi="Calibri"/>
          <w:sz w:val="20"/>
          <w:szCs w:val="20"/>
        </w:rPr>
        <w:t xml:space="preserve"> where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median, X</w:t>
      </w:r>
      <w:r w:rsidRPr="00FF7A9D">
        <w:rPr>
          <w:rFonts w:ascii="Calibri" w:hAnsi="Calibri"/>
          <w:sz w:val="20"/>
          <w:szCs w:val="20"/>
          <w:vertAlign w:val="subscript"/>
        </w:rPr>
        <w:t>i</w:t>
      </w:r>
      <w:r w:rsidRPr="00FF7A9D">
        <w:rPr>
          <w:rFonts w:ascii="Calibri" w:hAnsi="Calibri"/>
          <w:sz w:val="20"/>
          <w:szCs w:val="20"/>
        </w:rPr>
        <w:t xml:space="preserve"> = the </w:t>
      </w:r>
      <w:proofErr w:type="spellStart"/>
      <w:r w:rsidRPr="00FF7A9D">
        <w:rPr>
          <w:rFonts w:ascii="Calibri" w:hAnsi="Calibri"/>
          <w:sz w:val="20"/>
          <w:szCs w:val="20"/>
        </w:rPr>
        <w:t>i</w:t>
      </w:r>
      <w:r w:rsidRPr="00FF7A9D">
        <w:rPr>
          <w:rFonts w:ascii="Calibri" w:hAnsi="Calibri"/>
          <w:sz w:val="20"/>
          <w:szCs w:val="20"/>
          <w:vertAlign w:val="superscript"/>
        </w:rPr>
        <w:t>th</w:t>
      </w:r>
      <w:proofErr w:type="spellEnd"/>
      <w:r w:rsidRPr="00FF7A9D">
        <w:rPr>
          <w:rFonts w:ascii="Calibri" w:hAnsi="Calibri"/>
          <w:sz w:val="20"/>
          <w:szCs w:val="20"/>
        </w:rPr>
        <w:t xml:space="preserve"> observation. The median equals the value of the middle observation.</w:t>
      </w:r>
    </w:p>
    <w:p w:rsidR="00615731" w:rsidRPr="00FF7A9D" w:rsidRDefault="00615731" w:rsidP="00126348">
      <w:pPr>
        <w:numPr>
          <w:ilvl w:val="0"/>
          <w:numId w:val="1"/>
        </w:numPr>
        <w:spacing w:after="0" w:line="240" w:lineRule="auto"/>
        <w:jc w:val="both"/>
        <w:rPr>
          <w:rFonts w:ascii="Calibri" w:hAnsi="Calibri"/>
          <w:sz w:val="20"/>
          <w:szCs w:val="20"/>
        </w:rPr>
      </w:pPr>
      <w:r w:rsidRPr="00FF7A9D">
        <w:rPr>
          <w:rFonts w:ascii="Calibri" w:hAnsi="Calibri"/>
          <w:sz w:val="20"/>
          <w:szCs w:val="20"/>
        </w:rPr>
        <w:t xml:space="preserve">Form n = even: </w:t>
      </w:r>
      <w:proofErr w:type="spellStart"/>
      <w:r w:rsidRPr="00FF7A9D">
        <w:rPr>
          <w:rFonts w:ascii="Calibri" w:hAnsi="Calibri"/>
          <w:sz w:val="20"/>
          <w:szCs w:val="20"/>
        </w:rPr>
        <w:t>M</w:t>
      </w:r>
      <w:r w:rsidRPr="00FF7A9D">
        <w:rPr>
          <w:rFonts w:ascii="Calibri" w:hAnsi="Calibri"/>
          <w:sz w:val="20"/>
          <w:szCs w:val="20"/>
          <w:vertAlign w:val="subscript"/>
        </w:rPr>
        <w:t>d</w:t>
      </w:r>
      <w:proofErr w:type="spellEnd"/>
      <w:r w:rsidRPr="00FF7A9D">
        <w:rPr>
          <w:rFonts w:ascii="Calibri" w:hAnsi="Calibri"/>
          <w:sz w:val="20"/>
          <w:szCs w:val="20"/>
        </w:rPr>
        <w:t xml:space="preserve"> = </w:t>
      </w:r>
      <w:proofErr w:type="spellStart"/>
      <w:r w:rsidRPr="00FF7A9D">
        <w:rPr>
          <w:rFonts w:ascii="Calibri" w:hAnsi="Calibri"/>
          <w:sz w:val="20"/>
          <w:szCs w:val="20"/>
        </w:rPr>
        <w:t>X</w:t>
      </w:r>
      <w:r w:rsidRPr="00FF7A9D">
        <w:rPr>
          <w:rFonts w:ascii="Calibri" w:hAnsi="Calibri"/>
          <w:sz w:val="20"/>
          <w:szCs w:val="20"/>
          <w:vertAlign w:val="subscript"/>
        </w:rPr>
        <w:t>n</w:t>
      </w:r>
      <w:proofErr w:type="spellEnd"/>
      <w:r w:rsidRPr="00FF7A9D">
        <w:rPr>
          <w:rFonts w:ascii="Calibri" w:hAnsi="Calibri"/>
          <w:sz w:val="20"/>
          <w:szCs w:val="20"/>
          <w:vertAlign w:val="subscript"/>
        </w:rPr>
        <w:t>/2</w:t>
      </w:r>
      <w:r w:rsidRPr="00FF7A9D">
        <w:rPr>
          <w:rFonts w:ascii="Calibri" w:hAnsi="Calibri"/>
          <w:sz w:val="20"/>
          <w:szCs w:val="20"/>
        </w:rPr>
        <w:t xml:space="preserve">+ </w:t>
      </w:r>
      <w:proofErr w:type="gramStart"/>
      <w:r w:rsidRPr="00FF7A9D">
        <w:rPr>
          <w:rFonts w:ascii="Calibri" w:hAnsi="Calibri"/>
          <w:sz w:val="20"/>
          <w:szCs w:val="20"/>
        </w:rPr>
        <w:t>X</w:t>
      </w:r>
      <w:r w:rsidRPr="00FF7A9D">
        <w:rPr>
          <w:rFonts w:ascii="Calibri" w:hAnsi="Calibri"/>
          <w:sz w:val="20"/>
          <w:szCs w:val="20"/>
          <w:vertAlign w:val="subscript"/>
        </w:rPr>
        <w:t>(</w:t>
      </w:r>
      <w:proofErr w:type="gramEnd"/>
      <w:r w:rsidRPr="00FF7A9D">
        <w:rPr>
          <w:rFonts w:ascii="Calibri" w:hAnsi="Calibri"/>
          <w:sz w:val="20"/>
          <w:szCs w:val="20"/>
          <w:vertAlign w:val="subscript"/>
        </w:rPr>
        <w:t>n/2+1)</w:t>
      </w:r>
      <w:r w:rsidRPr="00FF7A9D">
        <w:rPr>
          <w:rFonts w:ascii="Calibri" w:hAnsi="Calibri"/>
          <w:sz w:val="20"/>
          <w:szCs w:val="20"/>
        </w:rPr>
        <w:t>. The median equals the arithmetic mean of the values of these two observations.</w:t>
      </w:r>
    </w:p>
    <w:p w:rsidR="00615731" w:rsidRPr="00FF7A9D" w:rsidRDefault="00615731" w:rsidP="00126348">
      <w:pPr>
        <w:spacing w:after="0" w:line="240" w:lineRule="auto"/>
        <w:ind w:left="284" w:hanging="284"/>
        <w:jc w:val="both"/>
        <w:rPr>
          <w:rFonts w:ascii="Calibri" w:hAnsi="Calibri"/>
          <w:sz w:val="20"/>
          <w:szCs w:val="20"/>
        </w:rPr>
      </w:pPr>
      <w:r w:rsidRPr="00FF7A9D">
        <w:rPr>
          <w:rFonts w:ascii="Calibri" w:hAnsi="Calibri"/>
          <w:sz w:val="20"/>
          <w:szCs w:val="20"/>
        </w:rPr>
        <w:t>Mode (M</w:t>
      </w:r>
      <w:r w:rsidRPr="00FF7A9D">
        <w:rPr>
          <w:rFonts w:ascii="Calibri" w:hAnsi="Calibri"/>
          <w:sz w:val="20"/>
          <w:szCs w:val="20"/>
          <w:vertAlign w:val="subscript"/>
        </w:rPr>
        <w:t>o</w:t>
      </w:r>
      <w:r w:rsidRPr="00FF7A9D">
        <w:rPr>
          <w:rFonts w:ascii="Calibri" w:hAnsi="Calibri"/>
          <w:sz w:val="20"/>
          <w:szCs w:val="20"/>
        </w:rPr>
        <w:t xml:space="preserve">) = a measure of central tendency defined as the value with the highest frequency (most represented value of a set). The mode has a value that is little influenced by outliers but is a rarely used measure. Its value is strongly influenced by the fluctuations of a sampling and can strongly vary from one sample to another. A distribution can have a unique mode (called the unimodal distribution) or many modes (called the bimodal, </w:t>
      </w:r>
      <w:proofErr w:type="spellStart"/>
      <w:r w:rsidRPr="00FF7A9D">
        <w:rPr>
          <w:rFonts w:ascii="Calibri" w:hAnsi="Calibri"/>
          <w:sz w:val="20"/>
          <w:szCs w:val="20"/>
        </w:rPr>
        <w:t>trimodal</w:t>
      </w:r>
      <w:proofErr w:type="spellEnd"/>
      <w:r w:rsidRPr="00FF7A9D">
        <w:rPr>
          <w:rFonts w:ascii="Calibri" w:hAnsi="Calibri"/>
          <w:sz w:val="20"/>
          <w:szCs w:val="20"/>
        </w:rPr>
        <w:t>, multimodal distribution).</w:t>
      </w:r>
    </w:p>
    <w:p w:rsidR="00615731" w:rsidRPr="00FF7A9D" w:rsidRDefault="00615731" w:rsidP="00126348">
      <w:pPr>
        <w:spacing w:after="0" w:line="240" w:lineRule="auto"/>
        <w:ind w:left="284"/>
        <w:jc w:val="both"/>
        <w:rPr>
          <w:rFonts w:ascii="Calibri" w:hAnsi="Calibri"/>
          <w:sz w:val="20"/>
          <w:szCs w:val="20"/>
        </w:rPr>
      </w:pPr>
      <w:r w:rsidRPr="00FF7A9D">
        <w:rPr>
          <w:rFonts w:ascii="Calibri" w:hAnsi="Calibri"/>
          <w:sz w:val="20"/>
          <w:szCs w:val="20"/>
        </w:rPr>
        <w:t xml:space="preserve">For a discrete variable, the mode has the advantage of being easy to determine and interpreted and it is used especially when the distribution is not symmetric. For continuous variable, the mode is a good indicator of the center of the data only if there is one dominant value in the data set. If there are many dominant values, the distribution is called </w:t>
      </w:r>
      <w:proofErr w:type="spellStart"/>
      <w:r w:rsidRPr="00FF7A9D">
        <w:rPr>
          <w:rFonts w:ascii="Calibri" w:hAnsi="Calibri"/>
          <w:sz w:val="20"/>
          <w:szCs w:val="20"/>
        </w:rPr>
        <w:t>plurimodal</w:t>
      </w:r>
      <w:proofErr w:type="spellEnd"/>
      <w:r w:rsidRPr="00FF7A9D">
        <w:rPr>
          <w:rFonts w:ascii="Calibri" w:hAnsi="Calibri"/>
          <w:sz w:val="20"/>
          <w:szCs w:val="20"/>
        </w:rPr>
        <w:t xml:space="preserve">, cases in which the modes are not the measure of central tendency. A bimodal </w:t>
      </w:r>
      <w:r w:rsidRPr="00FF7A9D">
        <w:rPr>
          <w:rFonts w:ascii="Calibri" w:hAnsi="Calibri"/>
          <w:sz w:val="20"/>
          <w:szCs w:val="20"/>
        </w:rPr>
        <w:lastRenderedPageBreak/>
        <w:t xml:space="preserve">distribution for example indicates that the considered distribution is in reality </w:t>
      </w:r>
      <w:proofErr w:type="spellStart"/>
      <w:r w:rsidRPr="00FF7A9D">
        <w:rPr>
          <w:rFonts w:ascii="Calibri" w:hAnsi="Calibri"/>
          <w:sz w:val="20"/>
          <w:szCs w:val="20"/>
        </w:rPr>
        <w:t>heterogenous</w:t>
      </w:r>
      <w:proofErr w:type="spellEnd"/>
      <w:r w:rsidRPr="00FF7A9D">
        <w:rPr>
          <w:rFonts w:ascii="Calibri" w:hAnsi="Calibri"/>
          <w:sz w:val="20"/>
          <w:szCs w:val="20"/>
        </w:rPr>
        <w:t xml:space="preserve"> and is composed of two sub-populations with different central values.</w:t>
      </w:r>
    </w:p>
    <w:p w:rsidR="00615731" w:rsidRDefault="00615731" w:rsidP="00126348">
      <w:pPr>
        <w:spacing w:after="0" w:line="240" w:lineRule="auto"/>
        <w:ind w:left="284" w:hanging="284"/>
        <w:jc w:val="both"/>
        <w:rPr>
          <w:rFonts w:ascii="Calibri" w:hAnsi="Calibri"/>
          <w:sz w:val="20"/>
          <w:szCs w:val="20"/>
        </w:rPr>
      </w:pPr>
    </w:p>
    <w:p w:rsidR="00615731" w:rsidRDefault="00F66FC3" w:rsidP="00591C39">
      <w:pPr>
        <w:spacing w:after="0" w:line="240" w:lineRule="auto"/>
        <w:jc w:val="both"/>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615731" w:rsidRPr="00F66FC3">
        <w:rPr>
          <w:b/>
          <w:sz w:val="20"/>
        </w:rPr>
        <w:t>Relationship between central tendency parameters and distribution</w:t>
      </w:r>
      <w:r w:rsidRPr="00F66FC3">
        <w:rPr>
          <w:b/>
          <w:sz w:val="20"/>
        </w:rPr>
        <w:t xml:space="preserve"> </w:t>
      </w:r>
      <w:r w:rsidRPr="003D1E3B">
        <w:rPr>
          <w:rFonts w:ascii="Calibri" w:hAnsi="Calibri" w:cs="Calibri"/>
          <w:b/>
          <w:bCs/>
          <w:color w:val="0070C0"/>
          <w:szCs w:val="28"/>
        </w:rPr>
        <w:t>[Home – Styles – Heading 1]</w:t>
      </w:r>
    </w:p>
    <w:p w:rsidR="00615731" w:rsidRDefault="00615731" w:rsidP="00126348">
      <w:pPr>
        <w:spacing w:after="0" w:line="240" w:lineRule="auto"/>
      </w:pPr>
      <w:r>
        <w:t xml:space="preserve">The assessment of mean, median and mode could </w:t>
      </w:r>
      <w:r w:rsidR="00F66FC3">
        <w:t>lead</w:t>
      </w:r>
      <w:r>
        <w:t xml:space="preserve"> to identify the type of asymmetry in the data (see Figures 1-2).</w:t>
      </w:r>
    </w:p>
    <w:p w:rsidR="00615731" w:rsidRDefault="00615731" w:rsidP="00126348">
      <w:pPr>
        <w:spacing w:after="0" w:line="240" w:lineRule="auto"/>
      </w:pPr>
    </w:p>
    <w:p w:rsidR="00615731" w:rsidRDefault="00615731" w:rsidP="00702A1D">
      <w:pPr>
        <w:spacing w:after="0" w:line="240" w:lineRule="auto"/>
      </w:pPr>
      <w:r w:rsidRPr="00615731">
        <w:rPr>
          <w:noProof/>
        </w:rPr>
        <w:drawing>
          <wp:inline distT="0" distB="0" distL="0" distR="0" wp14:anchorId="7772259F" wp14:editId="711A353A">
            <wp:extent cx="2819400" cy="259791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3307" cy="2601519"/>
                    </a:xfrm>
                    <a:prstGeom prst="rect">
                      <a:avLst/>
                    </a:prstGeom>
                    <a:noFill/>
                    <a:ln>
                      <a:noFill/>
                    </a:ln>
                  </pic:spPr>
                </pic:pic>
              </a:graphicData>
            </a:graphic>
          </wp:inline>
        </w:drawing>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p>
    <w:p w:rsidR="00615731" w:rsidRDefault="00615731" w:rsidP="00126348">
      <w:pPr>
        <w:spacing w:after="0" w:line="240" w:lineRule="auto"/>
        <w:jc w:val="center"/>
      </w:pPr>
      <w:proofErr w:type="gramStart"/>
      <w:r w:rsidRPr="00615731">
        <w:rPr>
          <w:b/>
        </w:rPr>
        <w:t>Figure 1.</w:t>
      </w:r>
      <w:proofErr w:type="gramEnd"/>
      <w:r>
        <w:t xml:space="preserve"> Left (positive) asymmetry: </w:t>
      </w:r>
      <w:r w:rsidRPr="00615731">
        <w:t>Mode &lt; Median &lt; Mean</w:t>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r w:rsidR="00260BD5">
        <w:rPr>
          <w:color w:val="0070C0"/>
        </w:rPr>
        <w:t>, italic</w:t>
      </w:r>
      <w:r w:rsidR="00260BD5" w:rsidRPr="00260BD5">
        <w:rPr>
          <w:color w:val="0070C0"/>
        </w:rPr>
        <w:t>)</w:t>
      </w:r>
    </w:p>
    <w:p w:rsidR="00615731" w:rsidRDefault="00126348" w:rsidP="00702A1D">
      <w:pPr>
        <w:spacing w:after="0" w:line="240" w:lineRule="auto"/>
      </w:pPr>
      <w:r w:rsidRPr="00126348">
        <w:rPr>
          <w:noProof/>
        </w:rPr>
        <w:drawing>
          <wp:inline distT="0" distB="0" distL="0" distR="0" wp14:anchorId="0F6ED8A7" wp14:editId="2A7A331F">
            <wp:extent cx="2460618" cy="24356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0109"/>
                    <a:stretch/>
                  </pic:blipFill>
                  <pic:spPr bwMode="auto">
                    <a:xfrm>
                      <a:off x="0" y="0"/>
                      <a:ext cx="2468908" cy="2443905"/>
                    </a:xfrm>
                    <a:prstGeom prst="rect">
                      <a:avLst/>
                    </a:prstGeom>
                    <a:noFill/>
                    <a:ln>
                      <a:noFill/>
                    </a:ln>
                    <a:extLst>
                      <a:ext uri="{53640926-AAD7-44D8-BBD7-CCE9431645EC}">
                        <a14:shadowObscured xmlns:a14="http://schemas.microsoft.com/office/drawing/2010/main"/>
                      </a:ext>
                    </a:extLst>
                  </pic:spPr>
                </pic:pic>
              </a:graphicData>
            </a:graphic>
          </wp:inline>
        </w:drawing>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p>
    <w:p w:rsidR="00126348" w:rsidRPr="00126348" w:rsidRDefault="00615731" w:rsidP="00126348">
      <w:pPr>
        <w:spacing w:after="0" w:line="240" w:lineRule="auto"/>
        <w:jc w:val="center"/>
      </w:pPr>
      <w:proofErr w:type="gramStart"/>
      <w:r w:rsidRPr="00615731">
        <w:rPr>
          <w:b/>
        </w:rPr>
        <w:t xml:space="preserve">Figure </w:t>
      </w:r>
      <w:r>
        <w:rPr>
          <w:b/>
        </w:rPr>
        <w:t>2</w:t>
      </w:r>
      <w:r w:rsidRPr="00615731">
        <w:rPr>
          <w:b/>
        </w:rPr>
        <w:t>.</w:t>
      </w:r>
      <w:proofErr w:type="gramEnd"/>
      <w:r>
        <w:t xml:space="preserve"> </w:t>
      </w:r>
      <w:r w:rsidR="00126348">
        <w:t>Right</w:t>
      </w:r>
      <w:r>
        <w:t xml:space="preserve"> (</w:t>
      </w:r>
      <w:r w:rsidR="00126348">
        <w:t>negative</w:t>
      </w:r>
      <w:r>
        <w:t xml:space="preserve">) asymmetry: </w:t>
      </w:r>
      <w:r w:rsidR="00126348" w:rsidRPr="00126348">
        <w:t>Mode &gt; Median &gt; Mean</w:t>
      </w:r>
      <w:r w:rsidR="00260BD5">
        <w:t xml:space="preserve"> </w:t>
      </w:r>
      <w:r w:rsidR="00260BD5" w:rsidRPr="00260BD5">
        <w:rPr>
          <w:color w:val="0070C0"/>
        </w:rPr>
        <w:t>(</w:t>
      </w:r>
      <w:proofErr w:type="spellStart"/>
      <w:r w:rsidR="00260BD5" w:rsidRPr="00260BD5">
        <w:rPr>
          <w:color w:val="0070C0"/>
        </w:rPr>
        <w:t>Aling</w:t>
      </w:r>
      <w:proofErr w:type="spellEnd"/>
      <w:r w:rsidR="00260BD5" w:rsidRPr="00260BD5">
        <w:rPr>
          <w:color w:val="0070C0"/>
        </w:rPr>
        <w:t xml:space="preserve"> = center</w:t>
      </w:r>
      <w:r w:rsidR="00260BD5">
        <w:rPr>
          <w:color w:val="0070C0"/>
        </w:rPr>
        <w:t>, italic</w:t>
      </w:r>
      <w:r w:rsidR="00260BD5" w:rsidRPr="00260BD5">
        <w:rPr>
          <w:color w:val="0070C0"/>
        </w:rPr>
        <w:t>)</w:t>
      </w:r>
    </w:p>
    <w:p w:rsidR="00615731" w:rsidRDefault="00615731" w:rsidP="00126348">
      <w:pPr>
        <w:spacing w:after="0" w:line="240" w:lineRule="auto"/>
      </w:pPr>
    </w:p>
    <w:p w:rsidR="00126348" w:rsidRDefault="00F66FC3" w:rsidP="00126348">
      <w:pPr>
        <w:spacing w:after="0" w:line="240" w:lineRule="auto"/>
      </w:pPr>
      <w:r w:rsidRPr="003D1E3B">
        <w:rPr>
          <w:rFonts w:ascii="Calibri" w:hAnsi="Calibri" w:cs="Calibri"/>
          <w:b/>
          <w:bCs/>
          <w:color w:val="0070C0"/>
          <w:szCs w:val="28"/>
        </w:rPr>
        <w:t>[Insert – Page Break]</w:t>
      </w:r>
      <w:r w:rsidRPr="00F66FC3">
        <w:rPr>
          <w:rFonts w:ascii="Calibri" w:hAnsi="Calibri" w:cs="Calibri"/>
          <w:bCs/>
          <w:sz w:val="20"/>
          <w:szCs w:val="28"/>
        </w:rPr>
        <w:t xml:space="preserve"> </w:t>
      </w:r>
      <w:r w:rsidR="00126348" w:rsidRPr="00F66FC3">
        <w:rPr>
          <w:b/>
          <w:sz w:val="20"/>
        </w:rPr>
        <w:t>Evaluating descriptive statistics statements</w:t>
      </w:r>
      <w:r w:rsidRPr="00F66FC3">
        <w:rPr>
          <w:b/>
          <w:sz w:val="20"/>
        </w:rPr>
        <w:t xml:space="preserve"> </w:t>
      </w:r>
      <w:r w:rsidRPr="003D1E3B">
        <w:rPr>
          <w:rFonts w:ascii="Calibri" w:hAnsi="Calibri" w:cs="Calibri"/>
          <w:b/>
          <w:bCs/>
          <w:color w:val="0070C0"/>
          <w:szCs w:val="28"/>
        </w:rPr>
        <w:t>[Home – Styles – Heading 1]</w:t>
      </w:r>
    </w:p>
    <w:p w:rsidR="00126348" w:rsidRDefault="00126348" w:rsidP="00126348">
      <w:pPr>
        <w:spacing w:after="0" w:line="240" w:lineRule="auto"/>
      </w:pPr>
      <w:r>
        <w:t>The evaluation of any statistical parameters and statements must take into consideration both the relevance and the validity of data and analysis on which the statement is based on.</w:t>
      </w:r>
    </w:p>
    <w:p w:rsidR="00126348" w:rsidRDefault="00126348" w:rsidP="00126348">
      <w:pPr>
        <w:spacing w:after="0" w:line="240" w:lineRule="auto"/>
      </w:pPr>
      <w:r>
        <w:t>The easiest way to evaluate a statistical statement is to follows the Huff’s criteria (5 questions) [</w:t>
      </w:r>
      <w:r w:rsidR="00F66FC3" w:rsidRPr="00591C39">
        <w:rPr>
          <w:rFonts w:cstheme="minorHAnsi"/>
          <w:color w:val="0070C0"/>
          <w:sz w:val="20"/>
          <w:szCs w:val="20"/>
        </w:rPr>
        <w:t xml:space="preserve">Huff, D., 1954, </w:t>
      </w:r>
      <w:r w:rsidR="00F66FC3" w:rsidRPr="00591C39">
        <w:rPr>
          <w:rFonts w:cstheme="minorHAnsi"/>
          <w:iCs/>
          <w:color w:val="0070C0"/>
          <w:sz w:val="20"/>
          <w:szCs w:val="20"/>
        </w:rPr>
        <w:t xml:space="preserve">How to </w:t>
      </w:r>
      <w:proofErr w:type="gramStart"/>
      <w:r w:rsidR="00F66FC3" w:rsidRPr="00591C39">
        <w:rPr>
          <w:rFonts w:cstheme="minorHAnsi"/>
          <w:iCs/>
          <w:color w:val="0070C0"/>
          <w:sz w:val="20"/>
          <w:szCs w:val="20"/>
        </w:rPr>
        <w:t>Lie</w:t>
      </w:r>
      <w:proofErr w:type="gramEnd"/>
      <w:r w:rsidR="00F66FC3" w:rsidRPr="00591C39">
        <w:rPr>
          <w:rFonts w:cstheme="minorHAnsi"/>
          <w:iCs/>
          <w:color w:val="0070C0"/>
          <w:sz w:val="20"/>
          <w:szCs w:val="20"/>
        </w:rPr>
        <w:t xml:space="preserve"> with Statistics</w:t>
      </w:r>
      <w:r w:rsidR="00F66FC3" w:rsidRPr="00591C39">
        <w:rPr>
          <w:rFonts w:cstheme="minorHAnsi"/>
          <w:color w:val="0070C0"/>
          <w:sz w:val="20"/>
          <w:szCs w:val="20"/>
        </w:rPr>
        <w:t>, W. W. Norton &amp; Company, New York, NY.</w:t>
      </w:r>
      <w:r w:rsidRPr="00F66FC3">
        <w:rPr>
          <w:rFonts w:cstheme="minorHAnsi"/>
          <w:sz w:val="20"/>
          <w:szCs w:val="20"/>
        </w:rPr>
        <w:t>]:</w:t>
      </w:r>
    </w:p>
    <w:p w:rsidR="00126348" w:rsidRDefault="00126348" w:rsidP="00126348">
      <w:pPr>
        <w:pStyle w:val="ListParagraph"/>
        <w:numPr>
          <w:ilvl w:val="0"/>
          <w:numId w:val="2"/>
        </w:numPr>
        <w:spacing w:after="0" w:line="240" w:lineRule="auto"/>
      </w:pPr>
      <w:r w:rsidRPr="00126348">
        <w:rPr>
          <w:i/>
        </w:rPr>
        <w:t>Who says so?</w:t>
      </w:r>
      <w:r>
        <w:t xml:space="preserve"> </w:t>
      </w:r>
    </w:p>
    <w:p w:rsidR="00126348" w:rsidRDefault="00126348" w:rsidP="00126348">
      <w:pPr>
        <w:pStyle w:val="ListParagraph"/>
        <w:numPr>
          <w:ilvl w:val="0"/>
          <w:numId w:val="2"/>
        </w:numPr>
        <w:spacing w:after="0" w:line="240" w:lineRule="auto"/>
      </w:pPr>
      <w:r w:rsidRPr="007138DB">
        <w:rPr>
          <w:i/>
        </w:rPr>
        <w:t>How does he/she know?</w:t>
      </w:r>
      <w:r>
        <w:t xml:space="preserve"> </w:t>
      </w:r>
      <w:r w:rsidR="007138DB">
        <w:t>The estimator reflects the facts</w:t>
      </w:r>
      <w:r>
        <w:t>?</w:t>
      </w:r>
    </w:p>
    <w:p w:rsidR="00126348" w:rsidRDefault="00126348" w:rsidP="00126348">
      <w:pPr>
        <w:pStyle w:val="ListParagraph"/>
        <w:numPr>
          <w:ilvl w:val="0"/>
          <w:numId w:val="2"/>
        </w:numPr>
        <w:spacing w:after="0" w:line="240" w:lineRule="auto"/>
      </w:pPr>
      <w:r w:rsidRPr="007138DB">
        <w:rPr>
          <w:i/>
        </w:rPr>
        <w:lastRenderedPageBreak/>
        <w:t>What</w:t>
      </w:r>
      <w:r w:rsidR="007138DB" w:rsidRPr="007138DB">
        <w:rPr>
          <w:i/>
        </w:rPr>
        <w:t>’</w:t>
      </w:r>
      <w:r w:rsidRPr="007138DB">
        <w:rPr>
          <w:i/>
        </w:rPr>
        <w:t>s missing?</w:t>
      </w:r>
      <w:r>
        <w:t xml:space="preserve"> </w:t>
      </w:r>
      <w:r w:rsidR="007138DB">
        <w:t>All information needed to proper interpretation was provided</w:t>
      </w:r>
      <w:r>
        <w:t>?</w:t>
      </w:r>
    </w:p>
    <w:p w:rsidR="00126348" w:rsidRDefault="00126348" w:rsidP="00126348">
      <w:pPr>
        <w:pStyle w:val="ListParagraph"/>
        <w:numPr>
          <w:ilvl w:val="0"/>
          <w:numId w:val="2"/>
        </w:numPr>
        <w:spacing w:after="0" w:line="240" w:lineRule="auto"/>
      </w:pPr>
      <w:r w:rsidRPr="007138DB">
        <w:rPr>
          <w:i/>
        </w:rPr>
        <w:t>Did someone change the subject?</w:t>
      </w:r>
      <w:r>
        <w:t xml:space="preserve"> </w:t>
      </w:r>
      <w:r w:rsidR="007138DB">
        <w:t>The estimator offers</w:t>
      </w:r>
      <w:r>
        <w:t xml:space="preserve"> the right answer to the wrong problem?</w:t>
      </w:r>
    </w:p>
    <w:p w:rsidR="00126348" w:rsidRDefault="00126348" w:rsidP="00126348">
      <w:pPr>
        <w:pStyle w:val="ListParagraph"/>
        <w:numPr>
          <w:ilvl w:val="0"/>
          <w:numId w:val="2"/>
        </w:numPr>
        <w:spacing w:after="0" w:line="240" w:lineRule="auto"/>
      </w:pPr>
      <w:r w:rsidRPr="007138DB">
        <w:rPr>
          <w:i/>
        </w:rPr>
        <w:t>Does it make sense?</w:t>
      </w:r>
      <w:r>
        <w:t xml:space="preserve"> </w:t>
      </w:r>
    </w:p>
    <w:p w:rsidR="00126348" w:rsidRDefault="00126348" w:rsidP="00126348">
      <w:pPr>
        <w:spacing w:after="0" w:line="240" w:lineRule="auto"/>
      </w:pPr>
    </w:p>
    <w:p w:rsidR="00126348" w:rsidRPr="00126348" w:rsidRDefault="00F66FC3" w:rsidP="00126348">
      <w:pPr>
        <w:spacing w:after="0" w:line="240" w:lineRule="auto"/>
        <w:rPr>
          <w:b/>
        </w:rPr>
      </w:pPr>
      <w:r w:rsidRPr="003D1E3B">
        <w:rPr>
          <w:rFonts w:ascii="Calibri" w:hAnsi="Calibri" w:cs="Calibri"/>
          <w:b/>
          <w:bCs/>
          <w:color w:val="0070C0"/>
          <w:szCs w:val="28"/>
        </w:rPr>
        <w:t>[Insert – Page Break]</w:t>
      </w:r>
      <w:r w:rsidRPr="003D1E3B">
        <w:rPr>
          <w:rFonts w:ascii="Calibri" w:hAnsi="Calibri" w:cs="Calibri"/>
          <w:bCs/>
          <w:szCs w:val="28"/>
        </w:rPr>
        <w:t xml:space="preserve"> </w:t>
      </w:r>
      <w:r w:rsidR="00126348" w:rsidRPr="00F66FC3">
        <w:rPr>
          <w:b/>
          <w:sz w:val="20"/>
        </w:rPr>
        <w:t>References</w:t>
      </w:r>
      <w:r>
        <w:rPr>
          <w:b/>
          <w:sz w:val="20"/>
        </w:rPr>
        <w:t xml:space="preserve"> </w:t>
      </w:r>
      <w:r w:rsidRPr="003D1E3B">
        <w:rPr>
          <w:rFonts w:ascii="Calibri" w:hAnsi="Calibri" w:cs="Calibri"/>
          <w:b/>
          <w:bCs/>
          <w:color w:val="0070C0"/>
          <w:szCs w:val="28"/>
        </w:rPr>
        <w:t>[Home – Styles – Heading 1]</w:t>
      </w:r>
    </w:p>
    <w:p w:rsidR="00615731" w:rsidRDefault="00615731" w:rsidP="00126348">
      <w:pPr>
        <w:spacing w:after="0" w:line="240" w:lineRule="auto"/>
      </w:pPr>
    </w:p>
    <w:sectPr w:rsidR="0061573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2" w:rsidRDefault="00017512" w:rsidP="00615731">
      <w:pPr>
        <w:spacing w:after="0" w:line="240" w:lineRule="auto"/>
      </w:pPr>
      <w:r>
        <w:separator/>
      </w:r>
    </w:p>
  </w:endnote>
  <w:endnote w:type="continuationSeparator" w:id="0">
    <w:p w:rsidR="00017512" w:rsidRDefault="00017512" w:rsidP="0061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2" w:rsidRDefault="00017512" w:rsidP="00615731">
      <w:pPr>
        <w:spacing w:after="0" w:line="240" w:lineRule="auto"/>
      </w:pPr>
      <w:r>
        <w:separator/>
      </w:r>
    </w:p>
  </w:footnote>
  <w:footnote w:type="continuationSeparator" w:id="0">
    <w:p w:rsidR="00017512" w:rsidRDefault="00017512" w:rsidP="00615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3A14"/>
    <w:multiLevelType w:val="hybridMultilevel"/>
    <w:tmpl w:val="BD5E2E5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441B778C"/>
    <w:multiLevelType w:val="hybridMultilevel"/>
    <w:tmpl w:val="1A56B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31"/>
    <w:rsid w:val="00017512"/>
    <w:rsid w:val="00126348"/>
    <w:rsid w:val="0013189E"/>
    <w:rsid w:val="00161AC1"/>
    <w:rsid w:val="00260BD5"/>
    <w:rsid w:val="004916C4"/>
    <w:rsid w:val="0049198F"/>
    <w:rsid w:val="00591C39"/>
    <w:rsid w:val="00615731"/>
    <w:rsid w:val="00702A1D"/>
    <w:rsid w:val="007138DB"/>
    <w:rsid w:val="00AB1D28"/>
    <w:rsid w:val="00BC1255"/>
    <w:rsid w:val="00BC179C"/>
    <w:rsid w:val="00C639F3"/>
    <w:rsid w:val="00CA63E8"/>
    <w:rsid w:val="00E15773"/>
    <w:rsid w:val="00F0575E"/>
    <w:rsid w:val="00F6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15731"/>
    <w:p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uiPriority w:val="99"/>
    <w:rsid w:val="00615731"/>
    <w:rPr>
      <w:rFonts w:ascii="Times New Roman" w:eastAsia="Times New Roman" w:hAnsi="Times New Roman" w:cs="Times New Roman"/>
      <w:sz w:val="20"/>
      <w:szCs w:val="20"/>
      <w:lang w:val="ro-RO" w:eastAsia="ro-RO"/>
    </w:rPr>
  </w:style>
  <w:style w:type="character" w:styleId="EndnoteReference">
    <w:name w:val="endnote reference"/>
    <w:uiPriority w:val="99"/>
    <w:semiHidden/>
    <w:unhideWhenUsed/>
    <w:rsid w:val="00615731"/>
    <w:rPr>
      <w:vertAlign w:val="superscript"/>
    </w:rPr>
  </w:style>
  <w:style w:type="paragraph" w:styleId="BalloonText">
    <w:name w:val="Balloon Text"/>
    <w:basedOn w:val="Normal"/>
    <w:link w:val="BalloonTextChar"/>
    <w:uiPriority w:val="99"/>
    <w:semiHidden/>
    <w:unhideWhenUsed/>
    <w:rsid w:val="0061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31"/>
    <w:rPr>
      <w:rFonts w:ascii="Tahoma" w:hAnsi="Tahoma" w:cs="Tahoma"/>
      <w:sz w:val="16"/>
      <w:szCs w:val="16"/>
    </w:rPr>
  </w:style>
  <w:style w:type="paragraph" w:styleId="NormalWeb">
    <w:name w:val="Normal (Web)"/>
    <w:basedOn w:val="Normal"/>
    <w:uiPriority w:val="99"/>
    <w:semiHidden/>
    <w:unhideWhenUsed/>
    <w:rsid w:val="0061573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26348"/>
    <w:pPr>
      <w:ind w:left="720"/>
      <w:contextualSpacing/>
    </w:pPr>
  </w:style>
  <w:style w:type="paragraph" w:customStyle="1" w:styleId="textbold">
    <w:name w:val="textbold"/>
    <w:basedOn w:val="Normal"/>
    <w:rsid w:val="00F66FC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15731"/>
    <w:pPr>
      <w:spacing w:after="0" w:line="240" w:lineRule="auto"/>
    </w:pPr>
    <w:rPr>
      <w:rFonts w:ascii="Times New Roman" w:eastAsia="Times New Roman" w:hAnsi="Times New Roman" w:cs="Times New Roman"/>
      <w:sz w:val="20"/>
      <w:szCs w:val="20"/>
      <w:lang w:val="ro-RO" w:eastAsia="ro-RO"/>
    </w:rPr>
  </w:style>
  <w:style w:type="character" w:customStyle="1" w:styleId="EndnoteTextChar">
    <w:name w:val="Endnote Text Char"/>
    <w:basedOn w:val="DefaultParagraphFont"/>
    <w:link w:val="EndnoteText"/>
    <w:uiPriority w:val="99"/>
    <w:rsid w:val="00615731"/>
    <w:rPr>
      <w:rFonts w:ascii="Times New Roman" w:eastAsia="Times New Roman" w:hAnsi="Times New Roman" w:cs="Times New Roman"/>
      <w:sz w:val="20"/>
      <w:szCs w:val="20"/>
      <w:lang w:val="ro-RO" w:eastAsia="ro-RO"/>
    </w:rPr>
  </w:style>
  <w:style w:type="character" w:styleId="EndnoteReference">
    <w:name w:val="endnote reference"/>
    <w:uiPriority w:val="99"/>
    <w:semiHidden/>
    <w:unhideWhenUsed/>
    <w:rsid w:val="00615731"/>
    <w:rPr>
      <w:vertAlign w:val="superscript"/>
    </w:rPr>
  </w:style>
  <w:style w:type="paragraph" w:styleId="BalloonText">
    <w:name w:val="Balloon Text"/>
    <w:basedOn w:val="Normal"/>
    <w:link w:val="BalloonTextChar"/>
    <w:uiPriority w:val="99"/>
    <w:semiHidden/>
    <w:unhideWhenUsed/>
    <w:rsid w:val="00615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731"/>
    <w:rPr>
      <w:rFonts w:ascii="Tahoma" w:hAnsi="Tahoma" w:cs="Tahoma"/>
      <w:sz w:val="16"/>
      <w:szCs w:val="16"/>
    </w:rPr>
  </w:style>
  <w:style w:type="paragraph" w:styleId="NormalWeb">
    <w:name w:val="Normal (Web)"/>
    <w:basedOn w:val="Normal"/>
    <w:uiPriority w:val="99"/>
    <w:semiHidden/>
    <w:unhideWhenUsed/>
    <w:rsid w:val="00615731"/>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26348"/>
    <w:pPr>
      <w:ind w:left="720"/>
      <w:contextualSpacing/>
    </w:pPr>
  </w:style>
  <w:style w:type="paragraph" w:customStyle="1" w:styleId="textbold">
    <w:name w:val="textbold"/>
    <w:basedOn w:val="Normal"/>
    <w:rsid w:val="00F66F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ana\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C04AE-BD3E-4AAB-B250-7FF3A8D18752}">
  <ds:schemaRefs>
    <ds:schemaRef ds:uri="urn:schemas-microsoft-com.VSTO2008Demos.ControlsStorage"/>
  </ds:schemaRefs>
</ds:datastoreItem>
</file>

<file path=customXml/itemProps2.xml><?xml version="1.0" encoding="utf-8"?>
<ds:datastoreItem xmlns:ds="http://schemas.openxmlformats.org/officeDocument/2006/customXml" ds:itemID="{FA32F0FC-5700-4038-A9F3-8A1DD913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33</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sorana</dc:creator>
  <cp:lastModifiedBy>Sorana D. BOLBOACĂ</cp:lastModifiedBy>
  <cp:revision>11</cp:revision>
  <dcterms:created xsi:type="dcterms:W3CDTF">2013-10-03T10:36:00Z</dcterms:created>
  <dcterms:modified xsi:type="dcterms:W3CDTF">2015-10-03T06:25:00Z</dcterms:modified>
</cp:coreProperties>
</file>